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6193"/>
        <w:gridCol w:w="2406"/>
      </w:tblGrid>
      <w:tr w:rsidR="00456960" w:rsidRPr="00E46407" w:rsidTr="00A324F0">
        <w:tc>
          <w:tcPr>
            <w:tcW w:w="5000" w:type="pct"/>
            <w:gridSpan w:val="3"/>
            <w:tcBorders>
              <w:bottom w:val="single" w:sz="4" w:space="0" w:color="auto"/>
            </w:tcBorders>
            <w:shd w:val="clear" w:color="auto" w:fill="BFBFBF" w:themeFill="background1" w:themeFillShade="BF"/>
          </w:tcPr>
          <w:p w:rsidR="00456960" w:rsidRPr="00E46407" w:rsidRDefault="00456960" w:rsidP="008247D6">
            <w:pPr>
              <w:rPr>
                <w:rFonts w:ascii="Garamond" w:hAnsi="Garamond"/>
                <w:b/>
                <w:sz w:val="22"/>
                <w:szCs w:val="22"/>
              </w:rPr>
            </w:pPr>
            <w:r w:rsidRPr="00E46407">
              <w:rPr>
                <w:rFonts w:ascii="Garamond" w:hAnsi="Garamond"/>
                <w:b/>
                <w:sz w:val="22"/>
                <w:szCs w:val="22"/>
              </w:rPr>
              <w:t xml:space="preserve">GOAL 6:  </w:t>
            </w:r>
            <w:r w:rsidRPr="00E46407">
              <w:rPr>
                <w:rFonts w:ascii="Garamond" w:hAnsi="Garamond"/>
                <w:sz w:val="22"/>
                <w:szCs w:val="22"/>
              </w:rPr>
              <w:t xml:space="preserve">Disseminate culturally responsive and universally accessible information about policies, promising practices, and emerging ideas that promote positive outcomes for people with disabilities and their families to at least </w:t>
            </w:r>
            <w:r w:rsidR="008247D6">
              <w:rPr>
                <w:rFonts w:ascii="Garamond" w:hAnsi="Garamond"/>
                <w:sz w:val="22"/>
                <w:szCs w:val="22"/>
              </w:rPr>
              <w:t>600,000</w:t>
            </w:r>
            <w:r w:rsidRPr="00E46407">
              <w:rPr>
                <w:rFonts w:ascii="Garamond" w:hAnsi="Garamond"/>
                <w:sz w:val="22"/>
                <w:szCs w:val="22"/>
              </w:rPr>
              <w:t xml:space="preserve"> people over five years.</w:t>
            </w:r>
          </w:p>
        </w:tc>
      </w:tr>
      <w:tr w:rsidR="00456960" w:rsidRPr="00E46407" w:rsidTr="00A324F0">
        <w:tc>
          <w:tcPr>
            <w:tcW w:w="5000" w:type="pct"/>
            <w:gridSpan w:val="3"/>
            <w:shd w:val="clear" w:color="auto" w:fill="D9D9D9" w:themeFill="background1" w:themeFillShade="D9"/>
          </w:tcPr>
          <w:p w:rsidR="00456960" w:rsidRPr="00E46407" w:rsidRDefault="00456960" w:rsidP="00A324F0">
            <w:pPr>
              <w:rPr>
                <w:rFonts w:ascii="Garamond" w:hAnsi="Garamond"/>
                <w:b/>
                <w:sz w:val="22"/>
                <w:szCs w:val="22"/>
              </w:rPr>
            </w:pPr>
            <w:r w:rsidRPr="00E46407">
              <w:rPr>
                <w:rFonts w:ascii="Garamond" w:hAnsi="Garamond"/>
                <w:b/>
                <w:sz w:val="22"/>
                <w:szCs w:val="22"/>
              </w:rPr>
              <w:t>Core Function: Information Dissemination</w:t>
            </w:r>
          </w:p>
          <w:p w:rsidR="00456960" w:rsidRPr="00E46407" w:rsidRDefault="00456960" w:rsidP="00A324F0">
            <w:pPr>
              <w:rPr>
                <w:rFonts w:ascii="Garamond" w:hAnsi="Garamond"/>
                <w:sz w:val="22"/>
                <w:szCs w:val="22"/>
              </w:rPr>
            </w:pPr>
            <w:r w:rsidRPr="00E46407">
              <w:rPr>
                <w:rFonts w:ascii="Garamond" w:hAnsi="Garamond"/>
                <w:b/>
                <w:sz w:val="22"/>
                <w:szCs w:val="22"/>
              </w:rPr>
              <w:t xml:space="preserve">Areas of Emphasis: Areas of Emphasis: </w:t>
            </w:r>
            <w:r w:rsidRPr="00E46407">
              <w:rPr>
                <w:rFonts w:ascii="Garamond" w:hAnsi="Garamond" w:cs="Arial"/>
                <w:sz w:val="22"/>
                <w:szCs w:val="22"/>
              </w:rPr>
              <w:t>Education and Early Intervention, Child Care, Quality Assurance, Health, Employment, and other- Quality of Life and Assistive Technology</w:t>
            </w:r>
          </w:p>
        </w:tc>
      </w:tr>
      <w:tr w:rsidR="00456960" w:rsidRPr="00E46407" w:rsidTr="00A324F0">
        <w:tc>
          <w:tcPr>
            <w:tcW w:w="5000" w:type="pct"/>
            <w:gridSpan w:val="3"/>
            <w:tcBorders>
              <w:bottom w:val="single" w:sz="4" w:space="0" w:color="auto"/>
            </w:tcBorders>
          </w:tcPr>
          <w:p w:rsidR="00456960" w:rsidRPr="00E46407" w:rsidRDefault="00456960" w:rsidP="00A324F0">
            <w:pPr>
              <w:rPr>
                <w:rFonts w:ascii="Garamond" w:hAnsi="Garamond"/>
                <w:sz w:val="22"/>
                <w:szCs w:val="22"/>
              </w:rPr>
            </w:pPr>
            <w:r w:rsidRPr="00E46407">
              <w:rPr>
                <w:rFonts w:ascii="Garamond" w:hAnsi="Garamond"/>
                <w:b/>
                <w:sz w:val="22"/>
                <w:szCs w:val="22"/>
              </w:rPr>
              <w:t xml:space="preserve">Type of Activity:  </w:t>
            </w:r>
            <w:r w:rsidRPr="00E46407">
              <w:rPr>
                <w:rFonts w:ascii="Garamond" w:hAnsi="Garamond"/>
                <w:sz w:val="22"/>
                <w:szCs w:val="22"/>
              </w:rPr>
              <w:t>Advocacy, Capacity Building, Systemic Change</w:t>
            </w:r>
          </w:p>
        </w:tc>
      </w:tr>
      <w:tr w:rsidR="00456960" w:rsidRPr="00E46407" w:rsidTr="00F44CD5">
        <w:tc>
          <w:tcPr>
            <w:tcW w:w="1680" w:type="pct"/>
            <w:shd w:val="clear" w:color="auto" w:fill="FFFFDD"/>
          </w:tcPr>
          <w:p w:rsidR="00456960" w:rsidRPr="00E46407" w:rsidRDefault="00456960" w:rsidP="00A324F0">
            <w:pPr>
              <w:jc w:val="center"/>
              <w:rPr>
                <w:rFonts w:ascii="Garamond" w:hAnsi="Garamond"/>
                <w:b/>
                <w:sz w:val="22"/>
                <w:szCs w:val="22"/>
              </w:rPr>
            </w:pPr>
            <w:r w:rsidRPr="00E46407">
              <w:rPr>
                <w:rFonts w:ascii="Garamond" w:hAnsi="Garamond"/>
                <w:b/>
                <w:sz w:val="22"/>
                <w:szCs w:val="22"/>
              </w:rPr>
              <w:t>Objectives (Annual Measures)</w:t>
            </w:r>
          </w:p>
        </w:tc>
        <w:tc>
          <w:tcPr>
            <w:tcW w:w="2391" w:type="pct"/>
            <w:shd w:val="clear" w:color="auto" w:fill="FFFFDD"/>
          </w:tcPr>
          <w:p w:rsidR="00456960" w:rsidRPr="00E46407" w:rsidRDefault="005A6997" w:rsidP="00456960">
            <w:pPr>
              <w:tabs>
                <w:tab w:val="center" w:pos="1872"/>
                <w:tab w:val="right" w:pos="3745"/>
              </w:tabs>
              <w:jc w:val="center"/>
              <w:rPr>
                <w:rFonts w:ascii="Garamond" w:hAnsi="Garamond"/>
                <w:b/>
                <w:sz w:val="22"/>
                <w:szCs w:val="22"/>
              </w:rPr>
            </w:pPr>
            <w:r>
              <w:rPr>
                <w:rFonts w:ascii="Garamond" w:hAnsi="Garamond"/>
                <w:b/>
                <w:sz w:val="22"/>
                <w:szCs w:val="22"/>
              </w:rPr>
              <w:t>Major Accomplishments</w:t>
            </w:r>
            <w:bookmarkStart w:id="0" w:name="_GoBack"/>
            <w:bookmarkEnd w:id="0"/>
          </w:p>
        </w:tc>
        <w:tc>
          <w:tcPr>
            <w:tcW w:w="929" w:type="pct"/>
            <w:shd w:val="clear" w:color="auto" w:fill="FFFFDD"/>
          </w:tcPr>
          <w:p w:rsidR="00456960" w:rsidRPr="00E46407" w:rsidRDefault="00E46407" w:rsidP="004C0B0D">
            <w:pPr>
              <w:jc w:val="center"/>
              <w:rPr>
                <w:rFonts w:ascii="Garamond" w:hAnsi="Garamond"/>
                <w:b/>
                <w:sz w:val="22"/>
                <w:szCs w:val="22"/>
              </w:rPr>
            </w:pPr>
            <w:r>
              <w:rPr>
                <w:rFonts w:ascii="Garamond" w:hAnsi="Garamond"/>
                <w:b/>
                <w:sz w:val="22"/>
                <w:szCs w:val="22"/>
              </w:rPr>
              <w:t>FY 201</w:t>
            </w:r>
            <w:r w:rsidR="004C0B0D">
              <w:rPr>
                <w:rFonts w:ascii="Garamond" w:hAnsi="Garamond"/>
                <w:b/>
                <w:sz w:val="22"/>
                <w:szCs w:val="22"/>
              </w:rPr>
              <w:t>5</w:t>
            </w:r>
            <w:r w:rsidR="00456960" w:rsidRPr="00E46407">
              <w:rPr>
                <w:rFonts w:ascii="Garamond" w:hAnsi="Garamond"/>
                <w:b/>
                <w:sz w:val="22"/>
                <w:szCs w:val="22"/>
              </w:rPr>
              <w:t xml:space="preserve"> Annual Progress Data</w:t>
            </w:r>
          </w:p>
        </w:tc>
      </w:tr>
      <w:tr w:rsidR="00456960" w:rsidRPr="00E46407" w:rsidTr="00815A3A">
        <w:trPr>
          <w:trHeight w:val="5885"/>
        </w:trPr>
        <w:tc>
          <w:tcPr>
            <w:tcW w:w="1680" w:type="pct"/>
          </w:tcPr>
          <w:p w:rsidR="00456960" w:rsidRPr="00E46407" w:rsidRDefault="00456960" w:rsidP="00A324F0">
            <w:pPr>
              <w:rPr>
                <w:rFonts w:ascii="Garamond" w:hAnsi="Garamond" w:cs="Arial"/>
                <w:sz w:val="22"/>
                <w:szCs w:val="22"/>
              </w:rPr>
            </w:pPr>
            <w:r w:rsidRPr="00E46407">
              <w:rPr>
                <w:rFonts w:ascii="Garamond" w:hAnsi="Garamond"/>
                <w:b/>
                <w:sz w:val="22"/>
                <w:szCs w:val="22"/>
              </w:rPr>
              <w:t>Obj</w:t>
            </w:r>
            <w:r w:rsidR="00E46407">
              <w:rPr>
                <w:rFonts w:ascii="Garamond" w:hAnsi="Garamond"/>
                <w:b/>
                <w:sz w:val="22"/>
                <w:szCs w:val="22"/>
              </w:rPr>
              <w:t xml:space="preserve">. </w:t>
            </w:r>
            <w:r w:rsidRPr="00E46407">
              <w:rPr>
                <w:rFonts w:ascii="Garamond" w:hAnsi="Garamond"/>
                <w:b/>
                <w:sz w:val="22"/>
                <w:szCs w:val="22"/>
              </w:rPr>
              <w:t xml:space="preserve">6.1  </w:t>
            </w:r>
            <w:r w:rsidRPr="00E46407">
              <w:rPr>
                <w:rFonts w:ascii="Garamond" w:hAnsi="Garamond" w:cs="Arial"/>
                <w:sz w:val="22"/>
                <w:szCs w:val="22"/>
              </w:rPr>
              <w:t>Disseminate products, including presentations, publications, websites, white papers, literature reviews, program evaluations, curricula, research tools, brochures, media, fact sheets, public announcements, human interest stories, and other public awareness materials to at least 125,000 people annually using culturally responsive and multiple accessible formats</w:t>
            </w:r>
            <w:r w:rsidR="00E46407">
              <w:rPr>
                <w:rFonts w:ascii="Garamond" w:hAnsi="Garamond" w:cs="Arial"/>
                <w:sz w:val="22"/>
                <w:szCs w:val="22"/>
              </w:rPr>
              <w:t xml:space="preserve">. </w:t>
            </w:r>
          </w:p>
          <w:p w:rsidR="00456960" w:rsidRPr="00E46407" w:rsidRDefault="00456960" w:rsidP="00A324F0">
            <w:pPr>
              <w:rPr>
                <w:rFonts w:ascii="Garamond" w:hAnsi="Garamond"/>
                <w:b/>
                <w:sz w:val="22"/>
                <w:szCs w:val="22"/>
              </w:rPr>
            </w:pPr>
          </w:p>
        </w:tc>
        <w:tc>
          <w:tcPr>
            <w:tcW w:w="2391" w:type="pct"/>
          </w:tcPr>
          <w:p w:rsidR="00594352" w:rsidRDefault="00594352" w:rsidP="00594352">
            <w:pPr>
              <w:pStyle w:val="BodyText"/>
            </w:pPr>
            <w:r>
              <w:t xml:space="preserve">CDHD faculty and staff disseminated 53 new products in FY </w:t>
            </w:r>
            <w:r w:rsidR="00F44CD5">
              <w:t>20</w:t>
            </w:r>
            <w:r>
              <w:t>15</w:t>
            </w:r>
            <w:r w:rsidR="00F44CD5">
              <w:t>, which include</w:t>
            </w:r>
            <w:r>
              <w:t>:</w:t>
            </w:r>
          </w:p>
          <w:p w:rsidR="00594352" w:rsidRDefault="00594352" w:rsidP="00594352">
            <w:pPr>
              <w:pStyle w:val="BodyText"/>
              <w:numPr>
                <w:ilvl w:val="0"/>
                <w:numId w:val="3"/>
              </w:numPr>
              <w:ind w:left="343"/>
            </w:pPr>
            <w:r>
              <w:t>15 conference presentations</w:t>
            </w:r>
          </w:p>
          <w:p w:rsidR="00594352" w:rsidRDefault="00594352" w:rsidP="00594352">
            <w:pPr>
              <w:pStyle w:val="BodyText"/>
              <w:numPr>
                <w:ilvl w:val="0"/>
                <w:numId w:val="3"/>
              </w:numPr>
              <w:ind w:left="343"/>
            </w:pPr>
            <w:r>
              <w:t>3 distance learning modules</w:t>
            </w:r>
          </w:p>
          <w:p w:rsidR="00594352" w:rsidRDefault="00594352" w:rsidP="00594352">
            <w:pPr>
              <w:pStyle w:val="BodyText"/>
              <w:numPr>
                <w:ilvl w:val="0"/>
                <w:numId w:val="3"/>
              </w:numPr>
              <w:ind w:left="343"/>
            </w:pPr>
            <w:r>
              <w:t>7 electronic products</w:t>
            </w:r>
          </w:p>
          <w:p w:rsidR="00594352" w:rsidRDefault="00594352" w:rsidP="00594352">
            <w:pPr>
              <w:pStyle w:val="BodyText"/>
              <w:numPr>
                <w:ilvl w:val="0"/>
                <w:numId w:val="3"/>
              </w:numPr>
              <w:ind w:left="343"/>
            </w:pPr>
            <w:r>
              <w:t>3 newsletters</w:t>
            </w:r>
          </w:p>
          <w:p w:rsidR="00594352" w:rsidRDefault="00594352" w:rsidP="00594352">
            <w:pPr>
              <w:pStyle w:val="BodyText"/>
              <w:numPr>
                <w:ilvl w:val="0"/>
                <w:numId w:val="3"/>
              </w:numPr>
              <w:ind w:left="343"/>
            </w:pPr>
            <w:r>
              <w:t>6 brochures</w:t>
            </w:r>
          </w:p>
          <w:p w:rsidR="00594352" w:rsidRDefault="00F44CD5" w:rsidP="00594352">
            <w:pPr>
              <w:pStyle w:val="BodyText"/>
              <w:numPr>
                <w:ilvl w:val="0"/>
                <w:numId w:val="3"/>
              </w:numPr>
              <w:ind w:left="343"/>
            </w:pPr>
            <w:r>
              <w:t>11 pamphlets, brochures, or f</w:t>
            </w:r>
            <w:r w:rsidR="00594352">
              <w:t>act sheets</w:t>
            </w:r>
          </w:p>
          <w:p w:rsidR="00594352" w:rsidRDefault="00F44CD5" w:rsidP="00594352">
            <w:pPr>
              <w:pStyle w:val="BodyText"/>
              <w:numPr>
                <w:ilvl w:val="0"/>
                <w:numId w:val="3"/>
              </w:numPr>
              <w:ind w:left="343"/>
            </w:pPr>
            <w:r>
              <w:t>2 m</w:t>
            </w:r>
            <w:r w:rsidR="00594352">
              <w:t>onographs</w:t>
            </w:r>
          </w:p>
          <w:p w:rsidR="00594352" w:rsidRDefault="00594352" w:rsidP="00594352">
            <w:pPr>
              <w:pStyle w:val="BodyText"/>
              <w:numPr>
                <w:ilvl w:val="0"/>
                <w:numId w:val="3"/>
              </w:numPr>
              <w:ind w:left="343"/>
            </w:pPr>
            <w:r>
              <w:t>1 website</w:t>
            </w:r>
          </w:p>
          <w:p w:rsidR="00F44CD5" w:rsidRDefault="00F44CD5" w:rsidP="00594352">
            <w:pPr>
              <w:pStyle w:val="BodyText"/>
            </w:pPr>
          </w:p>
          <w:p w:rsidR="00594352" w:rsidRPr="00594352" w:rsidRDefault="00594352" w:rsidP="00594352">
            <w:pPr>
              <w:pStyle w:val="BodyText"/>
            </w:pPr>
            <w:r>
              <w:t xml:space="preserve">A total of 18 additional products developed in previous years were also disseminated. Please see attachment for a list of all disseminated products.  </w:t>
            </w:r>
          </w:p>
        </w:tc>
        <w:tc>
          <w:tcPr>
            <w:tcW w:w="929" w:type="pct"/>
          </w:tcPr>
          <w:p w:rsidR="00F44CD5" w:rsidRPr="007A2276" w:rsidRDefault="00F44CD5" w:rsidP="00F44CD5">
            <w:pPr>
              <w:pStyle w:val="BodyText"/>
              <w:rPr>
                <w:b/>
              </w:rPr>
            </w:pPr>
            <w:r w:rsidRPr="00A44D6D">
              <w:sym w:font="Wingdings" w:char="F06F"/>
            </w:r>
            <w:r w:rsidRPr="0039072E">
              <w:rPr>
                <w:b/>
              </w:rPr>
              <w:t xml:space="preserve"> </w:t>
            </w:r>
            <w:r w:rsidRPr="00F44CD5">
              <w:t>Fully achieved</w:t>
            </w:r>
          </w:p>
          <w:p w:rsidR="00F44CD5" w:rsidRDefault="00F44CD5" w:rsidP="00F44CD5">
            <w:pPr>
              <w:rPr>
                <w:rFonts w:ascii="Garamond" w:hAnsi="Garamond"/>
                <w:sz w:val="22"/>
                <w:szCs w:val="22"/>
              </w:rPr>
            </w:pPr>
          </w:p>
          <w:p w:rsidR="00F44CD5" w:rsidRPr="007A2276" w:rsidRDefault="00F44CD5" w:rsidP="00F44CD5">
            <w:pPr>
              <w:rPr>
                <w:rFonts w:ascii="Garamond" w:hAnsi="Garamond"/>
                <w:b/>
                <w:sz w:val="22"/>
                <w:szCs w:val="22"/>
              </w:rPr>
            </w:pPr>
            <w:r w:rsidRPr="0039072E">
              <w:rPr>
                <w:rFonts w:ascii="Garamond" w:hAnsi="Garamond"/>
                <w:b/>
                <w:sz w:val="22"/>
                <w:szCs w:val="22"/>
              </w:rPr>
              <w:sym w:font="Wingdings" w:char="F0FE"/>
            </w:r>
            <w:r w:rsidRPr="0039072E">
              <w:rPr>
                <w:rFonts w:ascii="Garamond" w:hAnsi="Garamond"/>
                <w:b/>
                <w:sz w:val="22"/>
                <w:szCs w:val="22"/>
              </w:rPr>
              <w:t xml:space="preserve"> </w:t>
            </w:r>
            <w:r w:rsidRPr="007A2276">
              <w:rPr>
                <w:rFonts w:ascii="Garamond" w:hAnsi="Garamond"/>
                <w:b/>
                <w:sz w:val="22"/>
                <w:szCs w:val="22"/>
              </w:rPr>
              <w:t>Partially achieved</w:t>
            </w:r>
          </w:p>
          <w:p w:rsidR="00F44CD5" w:rsidRPr="0039072E" w:rsidRDefault="00F44CD5" w:rsidP="00F44CD5">
            <w:pPr>
              <w:rPr>
                <w:rFonts w:ascii="Garamond" w:hAnsi="Garamond"/>
                <w:b/>
                <w:sz w:val="22"/>
                <w:szCs w:val="22"/>
              </w:rPr>
            </w:pPr>
          </w:p>
          <w:p w:rsidR="00F44CD5" w:rsidRDefault="00F44CD5" w:rsidP="00F44CD5">
            <w:pPr>
              <w:rPr>
                <w:rFonts w:ascii="Garamond" w:hAnsi="Garamond"/>
                <w:sz w:val="22"/>
                <w:szCs w:val="22"/>
              </w:rPr>
            </w:pPr>
            <w:r w:rsidRPr="00A44D6D">
              <w:rPr>
                <w:rFonts w:ascii="Garamond" w:hAnsi="Garamond"/>
                <w:sz w:val="22"/>
                <w:szCs w:val="22"/>
              </w:rPr>
              <w:sym w:font="Wingdings" w:char="F06F"/>
            </w:r>
            <w:r w:rsidRPr="00A44D6D">
              <w:rPr>
                <w:rFonts w:ascii="Garamond" w:hAnsi="Garamond"/>
                <w:sz w:val="22"/>
                <w:szCs w:val="22"/>
              </w:rPr>
              <w:t xml:space="preserve"> Not initiated yet</w:t>
            </w:r>
            <w:r>
              <w:rPr>
                <w:rFonts w:ascii="Garamond" w:hAnsi="Garamond"/>
                <w:sz w:val="22"/>
                <w:szCs w:val="22"/>
              </w:rPr>
              <w:t xml:space="preserve"> </w:t>
            </w:r>
          </w:p>
          <w:p w:rsidR="00F44CD5" w:rsidRDefault="00F44CD5" w:rsidP="00F44CD5">
            <w:pPr>
              <w:ind w:left="22"/>
              <w:rPr>
                <w:rFonts w:ascii="Garamond" w:hAnsi="Garamond"/>
                <w:b/>
                <w:sz w:val="22"/>
                <w:szCs w:val="22"/>
              </w:rPr>
            </w:pPr>
          </w:p>
          <w:p w:rsidR="00F44CD5" w:rsidRDefault="00F44CD5" w:rsidP="00F44CD5">
            <w:pPr>
              <w:ind w:left="22"/>
              <w:rPr>
                <w:rFonts w:ascii="Garamond" w:hAnsi="Garamond"/>
                <w:b/>
                <w:sz w:val="22"/>
                <w:szCs w:val="22"/>
              </w:rPr>
            </w:pPr>
          </w:p>
          <w:p w:rsidR="00F44CD5" w:rsidRDefault="00F44CD5" w:rsidP="00F44CD5">
            <w:pPr>
              <w:ind w:left="22"/>
              <w:rPr>
                <w:rFonts w:ascii="Garamond" w:hAnsi="Garamond"/>
                <w:b/>
                <w:sz w:val="22"/>
                <w:szCs w:val="22"/>
              </w:rPr>
            </w:pPr>
          </w:p>
          <w:p w:rsidR="00F44CD5" w:rsidRPr="0089741E" w:rsidRDefault="00F44CD5" w:rsidP="00F44CD5">
            <w:pPr>
              <w:ind w:left="22"/>
              <w:rPr>
                <w:rFonts w:ascii="Garamond" w:hAnsi="Garamond"/>
                <w:b/>
                <w:sz w:val="22"/>
                <w:szCs w:val="22"/>
              </w:rPr>
            </w:pPr>
            <w:r>
              <w:rPr>
                <w:rFonts w:ascii="Garamond" w:hAnsi="Garamond"/>
                <w:b/>
                <w:sz w:val="22"/>
                <w:szCs w:val="22"/>
              </w:rPr>
              <w:t>Goal 6</w:t>
            </w:r>
            <w:r w:rsidRPr="0089741E">
              <w:rPr>
                <w:rFonts w:ascii="Garamond" w:hAnsi="Garamond"/>
                <w:b/>
                <w:sz w:val="22"/>
                <w:szCs w:val="22"/>
              </w:rPr>
              <w:t xml:space="preserve"> Overall: Partially Achieved</w:t>
            </w:r>
          </w:p>
          <w:p w:rsidR="00594352" w:rsidRDefault="00594352" w:rsidP="00A324F0">
            <w:pPr>
              <w:rPr>
                <w:rFonts w:ascii="Garamond" w:hAnsi="Garamond"/>
                <w:sz w:val="22"/>
                <w:szCs w:val="22"/>
              </w:rPr>
            </w:pPr>
          </w:p>
          <w:p w:rsidR="00594352" w:rsidRPr="00594352" w:rsidRDefault="00594352" w:rsidP="00A324F0">
            <w:pPr>
              <w:rPr>
                <w:rFonts w:ascii="Garamond" w:hAnsi="Garamond"/>
                <w:b/>
                <w:sz w:val="22"/>
                <w:szCs w:val="22"/>
              </w:rPr>
            </w:pPr>
            <w:r>
              <w:rPr>
                <w:rFonts w:ascii="Garamond" w:hAnsi="Garamond"/>
                <w:b/>
                <w:sz w:val="22"/>
                <w:szCs w:val="22"/>
              </w:rPr>
              <w:t xml:space="preserve">We disseminated at total of 71 products in FY 15 to a total of 77,124 people. 53 products were new and 18 were from previous years. A complete listing of products is attached.  </w:t>
            </w:r>
            <w:r w:rsidR="00815A3A">
              <w:rPr>
                <w:rFonts w:ascii="Garamond" w:hAnsi="Garamond"/>
                <w:b/>
                <w:sz w:val="22"/>
                <w:szCs w:val="22"/>
              </w:rPr>
              <w:t>Since FY 2013 we have disseminated a total of 260,872 products.</w:t>
            </w:r>
          </w:p>
          <w:p w:rsidR="00F30161" w:rsidRPr="00E46407" w:rsidRDefault="00F30161" w:rsidP="00A324F0">
            <w:pPr>
              <w:rPr>
                <w:rFonts w:ascii="Garamond" w:hAnsi="Garamond"/>
                <w:sz w:val="22"/>
                <w:szCs w:val="22"/>
              </w:rPr>
            </w:pPr>
          </w:p>
          <w:p w:rsidR="00456960" w:rsidRPr="00E46407" w:rsidRDefault="00456960" w:rsidP="004C0B0D">
            <w:pPr>
              <w:rPr>
                <w:rFonts w:ascii="Garamond" w:hAnsi="Garamond"/>
                <w:sz w:val="22"/>
                <w:szCs w:val="22"/>
              </w:rPr>
            </w:pPr>
          </w:p>
        </w:tc>
      </w:tr>
    </w:tbl>
    <w:p w:rsidR="00456960" w:rsidRPr="00E46407" w:rsidRDefault="00456960" w:rsidP="00456960">
      <w:pPr>
        <w:spacing w:line="480" w:lineRule="auto"/>
        <w:rPr>
          <w:rFonts w:ascii="Garamond" w:hAnsi="Garamond"/>
          <w:sz w:val="22"/>
          <w:szCs w:val="22"/>
        </w:rPr>
      </w:pPr>
    </w:p>
    <w:p w:rsidR="00890E90" w:rsidRPr="00E46407" w:rsidRDefault="00890E90">
      <w:pPr>
        <w:rPr>
          <w:sz w:val="22"/>
          <w:szCs w:val="22"/>
        </w:rPr>
      </w:pPr>
    </w:p>
    <w:sectPr w:rsidR="00890E90" w:rsidRPr="00E46407" w:rsidSect="0047321A">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8BD" w:rsidRDefault="006F78BD" w:rsidP="006F78BD">
      <w:r>
        <w:separator/>
      </w:r>
    </w:p>
  </w:endnote>
  <w:endnote w:type="continuationSeparator" w:id="0">
    <w:p w:rsidR="006F78BD" w:rsidRDefault="006F78BD" w:rsidP="006F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23023542"/>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6F78BD" w:rsidRPr="00E46407" w:rsidRDefault="006F78BD">
            <w:pPr>
              <w:pStyle w:val="Footer"/>
              <w:jc w:val="right"/>
              <w:rPr>
                <w:sz w:val="20"/>
                <w:szCs w:val="20"/>
              </w:rPr>
            </w:pPr>
            <w:r w:rsidRPr="00E46407">
              <w:rPr>
                <w:sz w:val="20"/>
                <w:szCs w:val="20"/>
              </w:rPr>
              <w:t xml:space="preserve">Page </w:t>
            </w:r>
            <w:r w:rsidRPr="00E46407">
              <w:rPr>
                <w:b/>
                <w:bCs/>
                <w:sz w:val="20"/>
                <w:szCs w:val="20"/>
              </w:rPr>
              <w:fldChar w:fldCharType="begin"/>
            </w:r>
            <w:r w:rsidRPr="00E46407">
              <w:rPr>
                <w:b/>
                <w:bCs/>
                <w:sz w:val="20"/>
                <w:szCs w:val="20"/>
              </w:rPr>
              <w:instrText xml:space="preserve"> PAGE </w:instrText>
            </w:r>
            <w:r w:rsidRPr="00E46407">
              <w:rPr>
                <w:b/>
                <w:bCs/>
                <w:sz w:val="20"/>
                <w:szCs w:val="20"/>
              </w:rPr>
              <w:fldChar w:fldCharType="separate"/>
            </w:r>
            <w:r w:rsidR="005A6997">
              <w:rPr>
                <w:b/>
                <w:bCs/>
                <w:noProof/>
                <w:sz w:val="20"/>
                <w:szCs w:val="20"/>
              </w:rPr>
              <w:t>1</w:t>
            </w:r>
            <w:r w:rsidRPr="00E46407">
              <w:rPr>
                <w:b/>
                <w:bCs/>
                <w:sz w:val="20"/>
                <w:szCs w:val="20"/>
              </w:rPr>
              <w:fldChar w:fldCharType="end"/>
            </w:r>
            <w:r w:rsidRPr="00E46407">
              <w:rPr>
                <w:sz w:val="20"/>
                <w:szCs w:val="20"/>
              </w:rPr>
              <w:t xml:space="preserve"> of </w:t>
            </w:r>
            <w:r w:rsidRPr="00E46407">
              <w:rPr>
                <w:b/>
                <w:bCs/>
                <w:sz w:val="20"/>
                <w:szCs w:val="20"/>
              </w:rPr>
              <w:fldChar w:fldCharType="begin"/>
            </w:r>
            <w:r w:rsidRPr="00E46407">
              <w:rPr>
                <w:b/>
                <w:bCs/>
                <w:sz w:val="20"/>
                <w:szCs w:val="20"/>
              </w:rPr>
              <w:instrText xml:space="preserve"> NUMPAGES  </w:instrText>
            </w:r>
            <w:r w:rsidRPr="00E46407">
              <w:rPr>
                <w:b/>
                <w:bCs/>
                <w:sz w:val="20"/>
                <w:szCs w:val="20"/>
              </w:rPr>
              <w:fldChar w:fldCharType="separate"/>
            </w:r>
            <w:r w:rsidR="005A6997">
              <w:rPr>
                <w:b/>
                <w:bCs/>
                <w:noProof/>
                <w:sz w:val="20"/>
                <w:szCs w:val="20"/>
              </w:rPr>
              <w:t>1</w:t>
            </w:r>
            <w:r w:rsidRPr="00E46407">
              <w:rPr>
                <w:b/>
                <w:bCs/>
                <w:sz w:val="20"/>
                <w:szCs w:val="20"/>
              </w:rPr>
              <w:fldChar w:fldCharType="end"/>
            </w:r>
          </w:p>
        </w:sdtContent>
      </w:sdt>
    </w:sdtContent>
  </w:sdt>
  <w:p w:rsidR="006F78BD" w:rsidRPr="00E46407" w:rsidRDefault="006F78BD">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8BD" w:rsidRDefault="006F78BD" w:rsidP="006F78BD">
      <w:r>
        <w:separator/>
      </w:r>
    </w:p>
  </w:footnote>
  <w:footnote w:type="continuationSeparator" w:id="0">
    <w:p w:rsidR="006F78BD" w:rsidRDefault="006F78BD" w:rsidP="006F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8BD" w:rsidRPr="00E46407" w:rsidRDefault="006F78BD" w:rsidP="006F78BD">
    <w:pPr>
      <w:pStyle w:val="Header"/>
      <w:jc w:val="right"/>
      <w:rPr>
        <w:sz w:val="20"/>
        <w:szCs w:val="20"/>
      </w:rPr>
    </w:pPr>
    <w:r w:rsidRPr="00E46407">
      <w:rPr>
        <w:sz w:val="20"/>
        <w:szCs w:val="20"/>
      </w:rPr>
      <w:t>Goal 6 FY</w:t>
    </w:r>
    <w:r w:rsidR="00E46407">
      <w:rPr>
        <w:sz w:val="20"/>
        <w:szCs w:val="20"/>
      </w:rPr>
      <w:t xml:space="preserve"> </w:t>
    </w:r>
    <w:r w:rsidR="004C0B0D">
      <w:rPr>
        <w:sz w:val="20"/>
        <w:szCs w:val="20"/>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4602C"/>
    <w:multiLevelType w:val="hybridMultilevel"/>
    <w:tmpl w:val="984E8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E3737"/>
    <w:multiLevelType w:val="hybridMultilevel"/>
    <w:tmpl w:val="1184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94908"/>
    <w:multiLevelType w:val="hybridMultilevel"/>
    <w:tmpl w:val="E724F010"/>
    <w:lvl w:ilvl="0" w:tplc="0409000F">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 w15:restartNumberingAfterBreak="0">
    <w:nsid w:val="52F53FB2"/>
    <w:multiLevelType w:val="hybridMultilevel"/>
    <w:tmpl w:val="9BBC15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2B62F4"/>
    <w:multiLevelType w:val="hybridMultilevel"/>
    <w:tmpl w:val="CC648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60"/>
    <w:rsid w:val="00017D5E"/>
    <w:rsid w:val="00064265"/>
    <w:rsid w:val="000E7C96"/>
    <w:rsid w:val="000F378E"/>
    <w:rsid w:val="000F7C37"/>
    <w:rsid w:val="00113809"/>
    <w:rsid w:val="00165D55"/>
    <w:rsid w:val="00174F21"/>
    <w:rsid w:val="001A2260"/>
    <w:rsid w:val="001C0709"/>
    <w:rsid w:val="001F52C3"/>
    <w:rsid w:val="001F5725"/>
    <w:rsid w:val="0028194D"/>
    <w:rsid w:val="002C4ED1"/>
    <w:rsid w:val="0038228C"/>
    <w:rsid w:val="00405848"/>
    <w:rsid w:val="0042374B"/>
    <w:rsid w:val="004274A1"/>
    <w:rsid w:val="00453D8C"/>
    <w:rsid w:val="00453E8D"/>
    <w:rsid w:val="00454B4C"/>
    <w:rsid w:val="00456960"/>
    <w:rsid w:val="0046452B"/>
    <w:rsid w:val="0047321A"/>
    <w:rsid w:val="00486D34"/>
    <w:rsid w:val="004C0B0D"/>
    <w:rsid w:val="00511461"/>
    <w:rsid w:val="005354D6"/>
    <w:rsid w:val="00560FC1"/>
    <w:rsid w:val="00594352"/>
    <w:rsid w:val="00596AE4"/>
    <w:rsid w:val="005A4280"/>
    <w:rsid w:val="005A6997"/>
    <w:rsid w:val="005B48F4"/>
    <w:rsid w:val="006A301D"/>
    <w:rsid w:val="006C7621"/>
    <w:rsid w:val="006E45A9"/>
    <w:rsid w:val="006F78BD"/>
    <w:rsid w:val="0072713F"/>
    <w:rsid w:val="00771F13"/>
    <w:rsid w:val="007D65B8"/>
    <w:rsid w:val="007E6ADC"/>
    <w:rsid w:val="007F630D"/>
    <w:rsid w:val="00815A3A"/>
    <w:rsid w:val="008247D6"/>
    <w:rsid w:val="00830494"/>
    <w:rsid w:val="00855263"/>
    <w:rsid w:val="00857030"/>
    <w:rsid w:val="00883811"/>
    <w:rsid w:val="00890E90"/>
    <w:rsid w:val="00925851"/>
    <w:rsid w:val="0098716F"/>
    <w:rsid w:val="00A540FD"/>
    <w:rsid w:val="00A733C4"/>
    <w:rsid w:val="00AE2537"/>
    <w:rsid w:val="00B1550F"/>
    <w:rsid w:val="00B8400E"/>
    <w:rsid w:val="00BF29D9"/>
    <w:rsid w:val="00C158B0"/>
    <w:rsid w:val="00C2335D"/>
    <w:rsid w:val="00CE7D89"/>
    <w:rsid w:val="00D318DB"/>
    <w:rsid w:val="00D54D0D"/>
    <w:rsid w:val="00D60D0C"/>
    <w:rsid w:val="00DF5565"/>
    <w:rsid w:val="00E03A98"/>
    <w:rsid w:val="00E46407"/>
    <w:rsid w:val="00EA5F1E"/>
    <w:rsid w:val="00F2114D"/>
    <w:rsid w:val="00F30161"/>
    <w:rsid w:val="00F44CD5"/>
    <w:rsid w:val="00FC7E03"/>
    <w:rsid w:val="00FD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1CD5C-AE04-493B-861D-260ADFC0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9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8F4"/>
    <w:pPr>
      <w:ind w:left="720"/>
      <w:contextualSpacing/>
    </w:pPr>
  </w:style>
  <w:style w:type="paragraph" w:styleId="Header">
    <w:name w:val="header"/>
    <w:basedOn w:val="Normal"/>
    <w:link w:val="HeaderChar"/>
    <w:uiPriority w:val="99"/>
    <w:unhideWhenUsed/>
    <w:rsid w:val="006F78BD"/>
    <w:pPr>
      <w:tabs>
        <w:tab w:val="center" w:pos="4680"/>
        <w:tab w:val="right" w:pos="9360"/>
      </w:tabs>
    </w:pPr>
  </w:style>
  <w:style w:type="character" w:customStyle="1" w:styleId="HeaderChar">
    <w:name w:val="Header Char"/>
    <w:basedOn w:val="DefaultParagraphFont"/>
    <w:link w:val="Header"/>
    <w:uiPriority w:val="99"/>
    <w:rsid w:val="006F78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78BD"/>
    <w:pPr>
      <w:tabs>
        <w:tab w:val="center" w:pos="4680"/>
        <w:tab w:val="right" w:pos="9360"/>
      </w:tabs>
    </w:pPr>
  </w:style>
  <w:style w:type="character" w:customStyle="1" w:styleId="FooterChar">
    <w:name w:val="Footer Char"/>
    <w:basedOn w:val="DefaultParagraphFont"/>
    <w:link w:val="Footer"/>
    <w:uiPriority w:val="99"/>
    <w:rsid w:val="006F78B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94352"/>
    <w:rPr>
      <w:rFonts w:ascii="Garamond" w:hAnsi="Garamond"/>
      <w:sz w:val="22"/>
      <w:szCs w:val="22"/>
    </w:rPr>
  </w:style>
  <w:style w:type="character" w:customStyle="1" w:styleId="BodyTextChar">
    <w:name w:val="Body Text Char"/>
    <w:basedOn w:val="DefaultParagraphFont"/>
    <w:link w:val="BodyText"/>
    <w:uiPriority w:val="99"/>
    <w:rsid w:val="00594352"/>
    <w:rPr>
      <w:rFonts w:ascii="Garamond" w:eastAsia="Times New Roman" w:hAnsi="Garamon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Fodor, Julie (jfodor@uidaho.edu)</dc:creator>
  <cp:lastModifiedBy>Fodor, Julie (jfodor@uidaho.edu)</cp:lastModifiedBy>
  <cp:revision>5</cp:revision>
  <cp:lastPrinted>2014-07-23T23:30:00Z</cp:lastPrinted>
  <dcterms:created xsi:type="dcterms:W3CDTF">2015-07-27T19:33:00Z</dcterms:created>
  <dcterms:modified xsi:type="dcterms:W3CDTF">2015-07-28T19:06:00Z</dcterms:modified>
</cp:coreProperties>
</file>